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Paragraph"/>
        <w:numPr>
          <w:ilvl w:val="0"/>
          <w:numId w:val="3"/>
        </w:numPr>
        <w:suppressAutoHyphens w:val="true"/>
        <w:spacing w:lineRule="auto" w:line="240"/>
        <w:jc w:val="center"/>
        <w:textAlignment w:val="baseline"/>
        <w:rPr/>
      </w:pPr>
      <w:r>
        <w:rPr>
          <w:rFonts w:cs="Times New Roman" w:ascii="Times New Roman" w:hAnsi="Times New Roman"/>
          <w:b/>
          <w:bCs/>
        </w:rPr>
        <w:t>ПЕРЕЧЕНЬ ИССЛЕДОВАНИЙ И ЗАКЛЮЧЕНИЙ НА ГОСПИТАЛИЗАЦИЮ (</w:t>
      </w:r>
      <w:r>
        <w:rPr>
          <w:rFonts w:cs="Times New Roman" w:ascii="Times New Roman" w:hAnsi="Times New Roman"/>
          <w:b/>
          <w:bCs/>
          <w:u w:val="single"/>
        </w:rPr>
        <w:t>ВЗРОСЛЫЕ)</w:t>
      </w:r>
    </w:p>
    <w:tbl>
      <w:tblPr>
        <w:tblStyle w:val="ac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29"/>
        <w:gridCol w:w="4217"/>
        <w:gridCol w:w="1899"/>
      </w:tblGrid>
      <w:tr>
        <w:trPr/>
        <w:tc>
          <w:tcPr>
            <w:tcW w:w="9345" w:type="dxa"/>
            <w:gridSpan w:val="3"/>
            <w:tcBorders/>
          </w:tcPr>
          <w:tbl>
            <w:tblPr>
              <w:tblStyle w:val="ac"/>
              <w:tblW w:w="9345" w:type="dxa"/>
              <w:jc w:val="left"/>
              <w:tblInd w:w="113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9345"/>
            </w:tblGrid>
            <w:tr>
              <w:trPr/>
              <w:tc>
                <w:tcPr>
                  <w:tcW w:w="9345" w:type="dxa"/>
                  <w:tcBorders>
                    <w:top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eastAsia="Aptos" w:cs="Times New Roman" w:ascii="Times New Roman" w:hAnsi="Times New Roman"/>
                      <w:b/>
                      <w:bCs/>
                      <w:kern w:val="2"/>
                      <w:sz w:val="24"/>
                      <w:szCs w:val="24"/>
                      <w:lang w:val="ru-RU" w:eastAsia="en-US" w:bidi="ar-SA"/>
                    </w:rPr>
                    <w:t>Документы для госпитализации</w:t>
                  </w:r>
                </w:p>
                <w:p>
                  <w:pPr>
                    <w:pStyle w:val="Normal"/>
                    <w:widowControl/>
                    <w:suppressAutoHyphens w:val="tru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 xml:space="preserve">На руках перед госпитализацией необходимо иметь 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u w:val="single"/>
                      <w:lang w:val="ru-RU" w:eastAsia="en-US" w:bidi="ar-SA"/>
                    </w:rPr>
                    <w:t>ОРИГИНАЛЫ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 xml:space="preserve"> и 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u w:val="single"/>
                      <w:lang w:val="ru-RU" w:eastAsia="en-US" w:bidi="ar-SA"/>
                    </w:rPr>
                    <w:t xml:space="preserve">КОПИИ </w:t>
                  </w:r>
                  <w:r>
                    <w:rPr>
                      <w:rFonts w:eastAsia="Aptos" w:cs="Times New Roman" w:ascii="Times New Roman" w:hAnsi="Times New Roman"/>
                      <w:kern w:val="2"/>
                      <w:sz w:val="24"/>
                      <w:szCs w:val="24"/>
                      <w:lang w:val="ru-RU" w:eastAsia="en-US" w:bidi="ar-SA"/>
                    </w:rPr>
                    <w:t xml:space="preserve">всех заключений и анализов </w:t>
                  </w:r>
                  <w:r>
                    <w:rPr>
                      <w:rFonts w:eastAsia="Aptos" w:cs="Times New Roman" w:ascii="Times New Roman" w:hAnsi="Times New Roman"/>
                      <w:b/>
                      <w:bCs/>
                      <w:kern w:val="2"/>
                      <w:sz w:val="24"/>
                      <w:szCs w:val="24"/>
                      <w:lang w:val="ru-RU" w:eastAsia="en-US" w:bidi="ar-SA"/>
                    </w:rPr>
                    <w:t>в распечатанном виде.</w:t>
                  </w:r>
                </w:p>
                <w:p>
                  <w:pPr>
                    <w:pStyle w:val="Standard"/>
                    <w:widowControl/>
                    <w:spacing w:before="0" w:after="160"/>
                    <w:ind w:firstLine="709"/>
                    <w:contextualSpacing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  <w:lang w:val="ru-RU"/>
                    </w:rPr>
                    <w:t>Заключения и анализы готовятся пациентом «заблаговременно» перед консультацией терапевта или анестезиолога</w:t>
                  </w:r>
                </w:p>
              </w:tc>
            </w:tr>
          </w:tbl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b/>
                <w:bCs/>
                <w:sz w:val="25"/>
                <w:szCs w:val="25"/>
              </w:rPr>
            </w:r>
          </w:p>
        </w:tc>
      </w:tr>
      <w:tr>
        <w:trPr/>
        <w:tc>
          <w:tcPr>
            <w:tcW w:w="9345" w:type="dxa"/>
            <w:gridSpan w:val="3"/>
            <w:tcBorders/>
          </w:tcPr>
          <w:tbl>
            <w:tblPr>
              <w:tblStyle w:val="ac"/>
              <w:tblW w:w="9119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9119"/>
            </w:tblGrid>
            <w:tr>
              <w:trPr/>
              <w:tc>
                <w:tcPr>
                  <w:tcW w:w="9119" w:type="dxa"/>
                  <w:tcBorders/>
                </w:tcPr>
                <w:tbl>
                  <w:tblPr>
                    <w:tblStyle w:val="ac"/>
                    <w:tblW w:w="9345" w:type="dxa"/>
                    <w:jc w:val="left"/>
                    <w:tblInd w:w="0" w:type="dxa"/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  <w:tblLook w:firstRow="1" w:noVBand="1" w:lastRow="0" w:firstColumn="1" w:lastColumn="0" w:noHBand="0" w:val="04a0"/>
                  </w:tblPr>
                  <w:tblGrid>
                    <w:gridCol w:w="9345"/>
                  </w:tblGrid>
                  <w:tr>
                    <w:trPr/>
                    <w:tc>
                      <w:tcPr>
                        <w:tcW w:w="9345" w:type="dxa"/>
                        <w:tcBorders>
                          <w:top w:val="nil"/>
                        </w:tcBorders>
                      </w:tcPr>
                      <w:p>
                        <w:pPr>
                          <w:pStyle w:val="Normal"/>
                          <w:widowControl/>
                          <w:suppressAutoHyphens w:val="true"/>
                          <w:spacing w:lineRule="auto" w:line="240" w:before="0" w:after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eastAsia="Aptos" w:cs="Times New Roman" w:ascii="Times New Roman" w:hAnsi="Times New Roman"/>
                            <w:kern w:val="2"/>
                            <w:sz w:val="24"/>
                            <w:szCs w:val="24"/>
                            <w:lang w:val="ru-RU" w:eastAsia="en-US" w:bidi="ar-SA"/>
                          </w:rPr>
                          <w:t xml:space="preserve">1. </w:t>
                        </w:r>
                        <w:r>
                          <w:rPr>
                            <w:rFonts w:eastAsia="Aptos" w:cs="Times New Roman" w:ascii="Times New Roman" w:hAnsi="Times New Roman"/>
                            <w:kern w:val="2"/>
                            <w:sz w:val="24"/>
                            <w:szCs w:val="24"/>
                            <w:u w:val="single"/>
                            <w:lang w:val="ru-RU" w:eastAsia="en-US" w:bidi="ar-SA"/>
                          </w:rPr>
                          <w:t>Направление 057 у на госпитализацию</w:t>
                        </w:r>
                        <w:r>
                          <w:rPr>
                            <w:rFonts w:eastAsia="Aptos" w:cs="Times New Roman" w:ascii="Times New Roman" w:hAnsi="Times New Roman"/>
                            <w:kern w:val="2"/>
                            <w:sz w:val="24"/>
                            <w:szCs w:val="24"/>
                            <w:lang w:val="ru-RU" w:eastAsia="en-US" w:bidi="ar-SA"/>
                          </w:rPr>
                          <w:t xml:space="preserve"> (выдается в поликлинике </w:t>
                        </w:r>
                        <w:r>
                          <w:rPr>
                            <w:rFonts w:eastAsia="Aptos" w:cs="Times New Roman" w:ascii="Times New Roman" w:hAnsi="Times New Roman"/>
                            <w:b/>
                            <w:bCs/>
                            <w:kern w:val="2"/>
                            <w:sz w:val="24"/>
                            <w:szCs w:val="24"/>
                            <w:lang w:val="ru-RU" w:eastAsia="en-US" w:bidi="ar-SA"/>
                          </w:rPr>
                          <w:t>по месту прикрепления</w:t>
                        </w:r>
                        <w:r>
                          <w:rPr>
                            <w:rFonts w:eastAsia="Aptos" w:cs="Times New Roman" w:ascii="Times New Roman" w:hAnsi="Times New Roman"/>
                            <w:kern w:val="2"/>
                            <w:sz w:val="24"/>
                            <w:szCs w:val="24"/>
                            <w:u w:val="single"/>
                            <w:lang w:val="ru-RU" w:eastAsia="en-US" w:bidi="ar-SA"/>
                          </w:rPr>
                          <w:t>)</w:t>
                        </w:r>
                      </w:p>
                    </w:tc>
                  </w:tr>
                  <w:tr>
                    <w:trPr/>
                    <w:tc>
                      <w:tcPr>
                        <w:tcW w:w="9345" w:type="dxa"/>
                        <w:tcBorders>
                          <w:top w:val="nil"/>
                        </w:tcBorders>
                      </w:tcPr>
                      <w:p>
                        <w:pPr>
                          <w:pStyle w:val="Normal"/>
                          <w:widowControl/>
                          <w:suppressAutoHyphens w:val="true"/>
                          <w:spacing w:lineRule="auto" w:line="240" w:before="0" w:after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eastAsia="Aptos" w:cs="Times New Roman" w:ascii="Times New Roman" w:hAnsi="Times New Roman"/>
                            <w:kern w:val="2"/>
                            <w:sz w:val="24"/>
                            <w:szCs w:val="24"/>
                            <w:lang w:val="ru-RU" w:eastAsia="en-US" w:bidi="ar-SA"/>
                          </w:rPr>
                          <w:t xml:space="preserve">2. </w:t>
                        </w:r>
                        <w:r>
                          <w:rPr>
                            <w:rFonts w:eastAsia="Aptos" w:cs="Times New Roman" w:ascii="Times New Roman" w:hAnsi="Times New Roman"/>
                            <w:kern w:val="2"/>
                            <w:sz w:val="24"/>
                            <w:szCs w:val="24"/>
                            <w:u w:val="single"/>
                            <w:lang w:val="ru-RU" w:eastAsia="en-US" w:bidi="ar-SA"/>
                          </w:rPr>
                          <w:t>Гражданский паспорт Пациента (оригинал)</w:t>
                        </w:r>
                      </w:p>
                    </w:tc>
                  </w:tr>
                  <w:tr>
                    <w:trPr/>
                    <w:tc>
                      <w:tcPr>
                        <w:tcW w:w="9345" w:type="dxa"/>
                        <w:tcBorders>
                          <w:top w:val="nil"/>
                        </w:tcBorders>
                      </w:tcPr>
                      <w:p>
                        <w:pPr>
                          <w:pStyle w:val="Normal"/>
                          <w:widowControl/>
                          <w:suppressAutoHyphens w:val="true"/>
                          <w:spacing w:lineRule="auto" w:line="240" w:before="0" w:after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eastAsia="Aptos" w:cs="Times New Roman" w:ascii="Times New Roman" w:hAnsi="Times New Roman"/>
                            <w:kern w:val="2"/>
                            <w:sz w:val="24"/>
                            <w:szCs w:val="24"/>
                            <w:lang w:val="ru-RU" w:eastAsia="en-US" w:bidi="ar-SA"/>
                          </w:rPr>
                          <w:t>3. Полис ОМС</w:t>
                        </w:r>
                      </w:p>
                    </w:tc>
                  </w:tr>
                  <w:tr>
                    <w:trPr/>
                    <w:tc>
                      <w:tcPr>
                        <w:tcW w:w="9345" w:type="dxa"/>
                        <w:tcBorders>
                          <w:top w:val="nil"/>
                        </w:tcBorders>
                      </w:tcPr>
                      <w:p>
                        <w:pPr>
                          <w:pStyle w:val="Normal"/>
                          <w:widowControl/>
                          <w:suppressAutoHyphens w:val="true"/>
                          <w:spacing w:lineRule="auto" w:line="240" w:before="0" w:after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eastAsia="Aptos" w:cs="Times New Roman" w:ascii="Times New Roman" w:hAnsi="Times New Roman"/>
                            <w:kern w:val="2"/>
                            <w:sz w:val="24"/>
                            <w:szCs w:val="24"/>
                            <w:lang w:val="ru-RU" w:eastAsia="en-US" w:bidi="ar-SA"/>
                          </w:rPr>
                          <w:t>4. СНИЛС</w:t>
                        </w:r>
                      </w:p>
                    </w:tc>
                  </w:tr>
                  <w:tr>
                    <w:trPr/>
                    <w:tc>
                      <w:tcPr>
                        <w:tcW w:w="9345" w:type="dxa"/>
                        <w:tcBorders>
                          <w:top w:val="nil"/>
                        </w:tcBorders>
                      </w:tcPr>
                      <w:p>
                        <w:pPr>
                          <w:pStyle w:val="Normal"/>
                          <w:widowControl/>
                          <w:suppressAutoHyphens w:val="true"/>
                          <w:spacing w:lineRule="auto" w:line="240" w:before="0" w:after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eastAsia="Aptos" w:cs="Times New Roman" w:ascii="Times New Roman" w:hAnsi="Times New Roman"/>
                            <w:kern w:val="2"/>
                            <w:sz w:val="24"/>
                            <w:szCs w:val="24"/>
                            <w:u w:val="single"/>
                            <w:lang w:val="ru-RU" w:eastAsia="en-US" w:bidi="ar-SA"/>
                          </w:rPr>
                          <w:t>5. Полис ДМС</w:t>
                        </w:r>
                        <w:r>
                          <w:rPr>
                            <w:rFonts w:eastAsia="Aptos" w:cs="Times New Roman" w:ascii="Times New Roman" w:hAnsi="Times New Roman"/>
                            <w:kern w:val="2"/>
                            <w:sz w:val="24"/>
                            <w:szCs w:val="24"/>
                            <w:lang w:val="ru-RU" w:eastAsia="en-US" w:bidi="ar-SA"/>
                          </w:rPr>
                          <w:t xml:space="preserve"> для направленных по Договору филиала со страховой компанией ДМС</w:t>
                        </w:r>
                      </w:p>
                    </w:tc>
                  </w:tr>
                  <w:tr>
                    <w:trPr/>
                    <w:tc>
                      <w:tcPr>
                        <w:tcW w:w="9345" w:type="dxa"/>
                        <w:tcBorders>
                          <w:top w:val="nil"/>
                        </w:tcBorders>
                      </w:tcPr>
                      <w:p>
                        <w:pPr>
                          <w:pStyle w:val="Normal"/>
                          <w:widowControl/>
                          <w:suppressAutoHyphens w:val="true"/>
                          <w:spacing w:lineRule="auto" w:line="240" w:before="0" w:after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eastAsia="Aptos" w:cs="Times New Roman" w:ascii="Times New Roman" w:hAnsi="Times New Roman"/>
                            <w:kern w:val="2"/>
                            <w:sz w:val="24"/>
                            <w:szCs w:val="24"/>
                            <w:lang w:val="ru-RU" w:eastAsia="en-US" w:bidi="ar-SA"/>
                          </w:rPr>
                          <w:t>6. Справки о ранее проведенных офтальмологических операциях или обследованиях в МНТК или других медицинских учреждениях (любого срока давности</w:t>
                        </w:r>
                        <w:r>
                          <w:rPr>
                            <w:rFonts w:eastAsia="Aptos" w:cs="Times New Roman" w:ascii="Times New Roman" w:hAnsi="Times New Roman"/>
                            <w:kern w:val="2"/>
                            <w:sz w:val="24"/>
                            <w:szCs w:val="24"/>
                            <w:lang w:val="ru-RU" w:eastAsia="en-US" w:bidi="ar-SA"/>
                          </w:rPr>
                          <w:t>)</w:t>
                        </w:r>
                      </w:p>
                    </w:tc>
                  </w:tr>
                </w:tbl>
                <w:p>
                  <w:pPr>
                    <w:pStyle w:val="Normal"/>
                    <w:spacing w:before="0" w:after="1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5"/>
                      <w:szCs w:val="25"/>
                    </w:rPr>
                  </w:pPr>
                  <w:r>
                    <w:rPr>
                      <w:rFonts w:cs="Times New Roman" w:ascii="Times New Roman" w:hAnsi="Times New Roman"/>
                      <w:b/>
                      <w:bCs/>
                      <w:sz w:val="25"/>
                      <w:szCs w:val="25"/>
                    </w:rPr>
                  </w:r>
                </w:p>
              </w:tc>
            </w:tr>
          </w:tbl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b/>
                <w:bCs/>
                <w:sz w:val="25"/>
                <w:szCs w:val="25"/>
              </w:rPr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Название исследования</w:t>
            </w:r>
          </w:p>
        </w:tc>
        <w:tc>
          <w:tcPr>
            <w:tcW w:w="42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Описание</w:t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Срок действия</w:t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1.Клинический анализ крови</w:t>
            </w:r>
          </w:p>
        </w:tc>
        <w:tc>
          <w:tcPr>
            <w:tcW w:w="42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лейкоциты, эритроциты, тромбоциты, СОЭ, гемоглобин</w:t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1 месяц</w:t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2.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Биохимический анализ крови</w:t>
            </w:r>
          </w:p>
        </w:tc>
        <w:tc>
          <w:tcPr>
            <w:tcW w:w="42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общий белок, глюкоза, билирубин, АЛТ, АСТ, мочевина, креатинин, щелочная фосфатаза, креатинин, мочевина, холестерин, С-реактивный белок.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При сахарном диабете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 xml:space="preserve"> –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гликированный гемоглобин</w:t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1 месяц</w:t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Standard"/>
              <w:widowControl/>
              <w:spacing w:before="0" w:after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  <w:lang w:val="ru-RU"/>
              </w:rPr>
              <w:t>3.</w:t>
            </w:r>
            <w:r>
              <w:rPr>
                <w:rFonts w:cs="Times New Roman" w:ascii="Times New Roman" w:hAnsi="Times New Roman"/>
                <w:b/>
                <w:bCs/>
                <w:sz w:val="25"/>
                <w:szCs w:val="25"/>
                <w:lang w:val="ru-RU"/>
              </w:rPr>
              <w:t xml:space="preserve"> ВИЧ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</w:rPr>
            </w:r>
          </w:p>
        </w:tc>
        <w:tc>
          <w:tcPr>
            <w:tcW w:w="4217" w:type="dxa"/>
            <w:tcBorders/>
          </w:tcPr>
          <w:p>
            <w:pPr>
              <w:pStyle w:val="Standard"/>
              <w:widowControl/>
              <w:spacing w:before="0" w:after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  <w:lang w:val="ru-RU"/>
              </w:rPr>
              <w:t>антитела и антиген ВИЧ ½.</w:t>
            </w:r>
            <w:r>
              <w:rPr>
                <w:rFonts w:cs="Times New Roman" w:ascii="Times New Roman" w:hAnsi="Times New Roman"/>
                <w:color w:val="000000"/>
                <w:sz w:val="25"/>
                <w:szCs w:val="25"/>
                <w:lang w:val="ru-RU"/>
              </w:rPr>
              <w:t xml:space="preserve"> К</w:t>
            </w:r>
            <w:r>
              <w:rPr>
                <w:rFonts w:cs="Times New Roman" w:ascii="Times New Roman" w:hAnsi="Times New Roman"/>
                <w:sz w:val="25"/>
                <w:szCs w:val="25"/>
                <w:lang w:val="ru-RU"/>
              </w:rPr>
              <w:t xml:space="preserve">онсультация и заключение </w:t>
            </w:r>
            <w:r>
              <w:rPr>
                <w:rFonts w:cs="Times New Roman" w:ascii="Times New Roman" w:hAnsi="Times New Roman"/>
                <w:sz w:val="25"/>
                <w:szCs w:val="25"/>
                <w:u w:val="single"/>
                <w:lang w:val="ru-RU"/>
              </w:rPr>
              <w:t xml:space="preserve">врача инфекциониста </w:t>
            </w:r>
            <w:r>
              <w:rPr>
                <w:rFonts w:cs="Times New Roman" w:ascii="Times New Roman" w:hAnsi="Times New Roman"/>
                <w:sz w:val="25"/>
                <w:szCs w:val="25"/>
                <w:lang w:val="ru-RU"/>
              </w:rPr>
              <w:t>при положительном результате</w:t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4.Гепатит В</w:t>
            </w:r>
          </w:p>
        </w:tc>
        <w:tc>
          <w:tcPr>
            <w:tcW w:w="4217" w:type="dxa"/>
            <w:tcBorders/>
          </w:tcPr>
          <w:p>
            <w:pPr>
              <w:pStyle w:val="Standard"/>
              <w:widowControl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5"/>
                <w:szCs w:val="25"/>
                <w:u w:val="single"/>
              </w:rPr>
            </w:pPr>
            <w:r>
              <w:rPr>
                <w:rFonts w:cs="Times New Roman" w:ascii="Times New Roman" w:hAnsi="Times New Roman"/>
                <w:color w:val="000000"/>
                <w:sz w:val="25"/>
                <w:szCs w:val="25"/>
                <w:u w:val="single"/>
                <w:lang w:val="ru-RU"/>
              </w:rPr>
              <w:t>HBsAg, поверхностный антиген.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color w:val="000000"/>
                <w:kern w:val="2"/>
                <w:sz w:val="25"/>
                <w:szCs w:val="25"/>
                <w:lang w:val="ru-RU" w:eastAsia="en-US" w:bidi="ar-SA"/>
              </w:rPr>
              <w:t>К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онсультация и заключение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u w:val="single"/>
                <w:lang w:val="ru-RU" w:eastAsia="en-US" w:bidi="ar-SA"/>
              </w:rPr>
              <w:t xml:space="preserve">врача инфекциониста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при положительном результате</w:t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Standard"/>
              <w:widowControl/>
              <w:spacing w:before="0" w:after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  <w:lang w:val="ru-RU"/>
              </w:rPr>
              <w:t>5.</w:t>
            </w:r>
            <w:r>
              <w:rPr>
                <w:rFonts w:cs="Times New Roman" w:ascii="Times New Roman" w:hAnsi="Times New Roman"/>
                <w:b/>
                <w:bCs/>
                <w:sz w:val="25"/>
                <w:szCs w:val="25"/>
                <w:lang w:val="ru-RU"/>
              </w:rPr>
              <w:t xml:space="preserve"> Гепатит С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</w:rPr>
            </w:r>
          </w:p>
        </w:tc>
        <w:tc>
          <w:tcPr>
            <w:tcW w:w="4217" w:type="dxa"/>
            <w:tcBorders/>
          </w:tcPr>
          <w:p>
            <w:pPr>
              <w:pStyle w:val="Standard"/>
              <w:widowControl/>
              <w:spacing w:before="0" w:after="0"/>
              <w:jc w:val="both"/>
              <w:rPr>
                <w:rFonts w:ascii="Times New Roman" w:hAnsi="Times New Roman" w:cs="Times New Roman"/>
                <w:sz w:val="25"/>
                <w:szCs w:val="25"/>
                <w:u w:val="single"/>
              </w:rPr>
            </w:pPr>
            <w:r>
              <w:rPr>
                <w:rFonts w:cs="Times New Roman" w:ascii="Times New Roman" w:hAnsi="Times New Roman"/>
                <w:sz w:val="25"/>
                <w:szCs w:val="25"/>
                <w:u w:val="single"/>
                <w:lang w:val="ru-RU"/>
              </w:rPr>
              <w:t>суммарные антитела Anti-HCV.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Консультация и заключение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u w:val="single"/>
                <w:lang w:val="ru-RU" w:eastAsia="en-US" w:bidi="ar-SA"/>
              </w:rPr>
              <w:t xml:space="preserve">врача инфекциониста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при положительном результате</w:t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6.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Сифилис</w:t>
            </w:r>
          </w:p>
        </w:tc>
        <w:tc>
          <w:tcPr>
            <w:tcW w:w="4217" w:type="dxa"/>
            <w:tcBorders/>
          </w:tcPr>
          <w:p>
            <w:pPr>
              <w:pStyle w:val="Standard"/>
              <w:widowControl/>
              <w:spacing w:before="0" w:after="0"/>
              <w:jc w:val="both"/>
              <w:rPr>
                <w:rFonts w:ascii="Times New Roman" w:hAnsi="Times New Roman" w:cs="Times New Roman"/>
                <w:sz w:val="25"/>
                <w:szCs w:val="25"/>
                <w:u w:val="single"/>
              </w:rPr>
            </w:pPr>
            <w:r>
              <w:rPr>
                <w:rFonts w:cs="Times New Roman" w:ascii="Times New Roman" w:hAnsi="Times New Roman"/>
                <w:sz w:val="25"/>
                <w:szCs w:val="25"/>
                <w:u w:val="single"/>
                <w:lang w:val="ru-RU"/>
              </w:rPr>
              <w:t>суммарные антитела к бледной трепонеме.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Консультация и заключение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u w:val="single"/>
                <w:lang w:val="ru-RU" w:eastAsia="en-US" w:bidi="ar-SA"/>
              </w:rPr>
              <w:t>врача кожвендиспа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нсера при положительном результате</w:t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7. 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Группа крови и резус-фактор</w:t>
            </w:r>
          </w:p>
        </w:tc>
        <w:tc>
          <w:tcPr>
            <w:tcW w:w="42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</w:rPr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бессрочно</w:t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8. Анализ мочи общий</w:t>
            </w:r>
          </w:p>
        </w:tc>
        <w:tc>
          <w:tcPr>
            <w:tcW w:w="42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</w:rPr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1 месяц</w:t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9. Лента ЭКГ с расшифровкой</w:t>
            </w:r>
          </w:p>
        </w:tc>
        <w:tc>
          <w:tcPr>
            <w:tcW w:w="42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При наличии изменений консультация кардиолога обязательна!</w:t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1 месяц</w:t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10. 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Заключение по обследованию органов дыхания</w:t>
            </w:r>
          </w:p>
        </w:tc>
        <w:tc>
          <w:tcPr>
            <w:tcW w:w="42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флюорография, или рентгенография, или КТ органов грудной клетки с описанием</w:t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12 месяцев</w:t>
            </w:r>
          </w:p>
        </w:tc>
      </w:tr>
      <w:tr>
        <w:trPr>
          <w:trHeight w:val="1447" w:hRule="atLeast"/>
        </w:trPr>
        <w:tc>
          <w:tcPr>
            <w:tcW w:w="32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11.З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аключение терапевта</w:t>
            </w:r>
          </w:p>
        </w:tc>
        <w:tc>
          <w:tcPr>
            <w:tcW w:w="42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- указание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u w:val="single"/>
                <w:lang w:val="ru-RU" w:eastAsia="en-US" w:bidi="ar-SA"/>
              </w:rPr>
              <w:t xml:space="preserve">основного и сопутствующих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терапевтических заболеваний;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- возможность проведения хирургического лечения органа зрения под местной и общей анестезией</w:t>
            </w:r>
          </w:p>
        </w:tc>
        <w:tc>
          <w:tcPr>
            <w:tcW w:w="189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1 месяц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</w:rPr>
            </w:r>
          </w:p>
        </w:tc>
      </w:tr>
      <w:tr>
        <w:trPr>
          <w:trHeight w:val="2258" w:hRule="atLeast"/>
        </w:trPr>
        <w:tc>
          <w:tcPr>
            <w:tcW w:w="32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</w:rPr>
            </w:r>
          </w:p>
        </w:tc>
        <w:tc>
          <w:tcPr>
            <w:tcW w:w="42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- у пациентов на инсулинотерапии - схема и дозировки введения инсулина;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- если пациент принимает 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ВАРФАРИН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,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u w:val="single"/>
                <w:lang w:val="ru-RU" w:eastAsia="en-US" w:bidi="ar-SA"/>
              </w:rPr>
              <w:t>результаты анализа МНО;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- если пациент принимает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u w:val="single"/>
                <w:lang w:val="ru-RU" w:eastAsia="en-US" w:bidi="ar-SA"/>
              </w:rPr>
              <w:t>антикоагулянты на постоянной основе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, 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обязательно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 указать в заключении возможность временной отмены препаратов на время лечения</w:t>
            </w:r>
          </w:p>
        </w:tc>
        <w:tc>
          <w:tcPr>
            <w:tcW w:w="189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</w:rPr>
            </w:r>
          </w:p>
        </w:tc>
      </w:tr>
      <w:tr>
        <w:trPr/>
        <w:tc>
          <w:tcPr>
            <w:tcW w:w="9345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Для пациентов, состоящих на диспансерном учете, заключения специалистов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 с указанием стадии, ремиссии/компенсации заболевания и рекомендациями по лечению (дозировки препаратов и схемы лечения)</w:t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</w:rPr>
            </w:r>
          </w:p>
        </w:tc>
        <w:tc>
          <w:tcPr>
            <w:tcW w:w="42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ЛОР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 при хронических заболеваниях, требующих санации очагов инфекции</w:t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</w:rPr>
            </w:r>
          </w:p>
        </w:tc>
        <w:tc>
          <w:tcPr>
            <w:tcW w:w="42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Стоматолог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 при хронических заболеваниях, требующих санации очагов инфекции</w:t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</w:rPr>
            </w:r>
          </w:p>
        </w:tc>
        <w:tc>
          <w:tcPr>
            <w:tcW w:w="42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Эндокринолог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 при сахарном диабете</w:t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</w:rPr>
            </w:r>
          </w:p>
        </w:tc>
        <w:tc>
          <w:tcPr>
            <w:tcW w:w="42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 xml:space="preserve">Кардиолог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с эхокардиографией (УЗИ сердца): </w:t>
            </w: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 xml:space="preserve">обязательно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при мерцательной аритмии, после перенесенного инфаркта миокарда (в течение 12 месяцев после инфаркта), после операций на сердце</w:t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3 месяца</w:t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</w:rPr>
            </w:r>
          </w:p>
        </w:tc>
        <w:tc>
          <w:tcPr>
            <w:tcW w:w="42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 xml:space="preserve">Нефролог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при заболеваниях почек и почечной недостаточности при сахарном диабете</w:t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6 месяцев</w:t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</w:rPr>
            </w:r>
          </w:p>
        </w:tc>
        <w:tc>
          <w:tcPr>
            <w:tcW w:w="42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 xml:space="preserve">Психиатр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при диспансерном учете в ПНД</w:t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12 месяцев</w:t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</w:rPr>
            </w:r>
          </w:p>
        </w:tc>
        <w:tc>
          <w:tcPr>
            <w:tcW w:w="42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 xml:space="preserve">Невролог 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при наличии неврологических заболеваний</w:t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12 месяцев</w:t>
            </w:r>
          </w:p>
        </w:tc>
      </w:tr>
      <w:tr>
        <w:trPr/>
        <w:tc>
          <w:tcPr>
            <w:tcW w:w="32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sz w:val="25"/>
                <w:szCs w:val="25"/>
              </w:rPr>
            </w:r>
          </w:p>
        </w:tc>
        <w:tc>
          <w:tcPr>
            <w:tcW w:w="421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5"/>
                <w:szCs w:val="25"/>
                <w:lang w:val="ru-RU" w:eastAsia="en-US" w:bidi="ar-SA"/>
              </w:rPr>
              <w:t>Акушер-гинеколог</w:t>
            </w: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 xml:space="preserve"> при беременности. Обязательно наличие заключения о возможности оперативного вмешательства</w:t>
            </w:r>
          </w:p>
        </w:tc>
        <w:tc>
          <w:tcPr>
            <w:tcW w:w="189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eastAsia="Aptos" w:cs="Times New Roman" w:ascii="Times New Roman" w:hAnsi="Times New Roman"/>
                <w:kern w:val="2"/>
                <w:sz w:val="25"/>
                <w:szCs w:val="25"/>
                <w:lang w:val="ru-RU" w:eastAsia="en-US" w:bidi="ar-SA"/>
              </w:rPr>
              <w:t>7 дней</w:t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  <w:sz w:val="25"/>
          <w:szCs w:val="25"/>
        </w:rPr>
      </w:pPr>
      <w:r>
        <w:rPr>
          <w:rFonts w:cs="Times New Roman" w:ascii="Times New Roman" w:hAnsi="Times New Roman"/>
          <w:sz w:val="25"/>
          <w:szCs w:val="25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ptos Display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92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211397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11397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11397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11397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11397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11397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11397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11397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11397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21139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21139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211397"/>
    <w:rPr>
      <w:rFonts w:eastAsia="" w:cs="" w:cstheme="majorBidi" w:eastAsiaTheme="majorEastAsia"/>
      <w:i/>
      <w:iCs/>
      <w:color w:themeColor="accent1" w:themeShade="bf" w:val="0F4761"/>
    </w:rPr>
  </w:style>
  <w:style w:type="character" w:styleId="5" w:customStyle="1">
    <w:name w:val="Заголовок 5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accent1" w:themeShade="bf" w:val="0F4761"/>
    </w:rPr>
  </w:style>
  <w:style w:type="character" w:styleId="6" w:customStyle="1">
    <w:name w:val="Заголовок 6 Знак"/>
    <w:basedOn w:val="DefaultParagraphFont"/>
    <w:uiPriority w:val="9"/>
    <w:semiHidden/>
    <w:qFormat/>
    <w:rsid w:val="00211397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211397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211397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211397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21139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21139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211397"/>
    <w:rPr>
      <w:i/>
      <w:iCs/>
      <w:color w:themeColor="accent1" w:themeShade="bf" w:val="0F476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211397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211397"/>
    <w:rPr>
      <w:b/>
      <w:bCs/>
      <w:smallCaps/>
      <w:color w:themeColor="accent1" w:themeShade="bf" w:val="0F4761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Style5"/>
    <w:uiPriority w:val="10"/>
    <w:qFormat/>
    <w:rsid w:val="00211397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211397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211397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qFormat/>
    <w:rsid w:val="00211397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2113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Standard" w:customStyle="1">
    <w:name w:val="Standard"/>
    <w:qFormat/>
    <w:rsid w:val="0021139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  <w14:ligatures w14:val="none"/>
    </w:rPr>
  </w:style>
  <w:style w:type="numbering" w:styleId="Style1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21139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Application>LibreOffice/24.2.5.2$Windows_X86_64 LibreOffice_project/bffef4ea93e59bebbeaf7f431bb02b1a39ee8a59</Application>
  <AppVersion>15.0000</AppVersion>
  <Pages>2</Pages>
  <Words>411</Words>
  <Characters>2812</Characters>
  <CharactersWithSpaces>3153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2026-09-20T07:50:00Z</dcterms:created>
  <dc:creator>Владимир</dc:creator>
  <dc:description/>
  <dc:language>ru-RU</dc:language>
  <cp:lastModifiedBy/>
  <dcterms:modified xsi:type="dcterms:W3CDTF">2026-10-07T12:30:08Z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